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-412" w:type="dxa"/>
        <w:tblLayout w:type="fixed"/>
        <w:tblLook w:val="04A0" w:firstRow="1" w:lastRow="0" w:firstColumn="1" w:lastColumn="0" w:noHBand="0" w:noVBand="1"/>
      </w:tblPr>
      <w:tblGrid>
        <w:gridCol w:w="978"/>
        <w:gridCol w:w="192"/>
        <w:gridCol w:w="973"/>
        <w:gridCol w:w="287"/>
        <w:gridCol w:w="735"/>
        <w:gridCol w:w="525"/>
        <w:gridCol w:w="335"/>
        <w:gridCol w:w="632"/>
        <w:gridCol w:w="1373"/>
        <w:gridCol w:w="952"/>
        <w:gridCol w:w="1298"/>
        <w:gridCol w:w="1497"/>
        <w:gridCol w:w="118"/>
        <w:gridCol w:w="1327"/>
      </w:tblGrid>
      <w:tr w:rsidR="00FE39EF" w:rsidRPr="008A39C1" w:rsidTr="008A39C1">
        <w:trPr>
          <w:gridAfter w:val="1"/>
          <w:wAfter w:w="1327" w:type="dxa"/>
        </w:trPr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E39EF" w:rsidRPr="008A39C1" w:rsidTr="008A39C1">
        <w:tc>
          <w:tcPr>
            <w:tcW w:w="1170" w:type="dxa"/>
            <w:gridSpan w:val="2"/>
            <w:tcBorders>
              <w:top w:val="single" w:sz="4" w:space="0" w:color="auto"/>
            </w:tcBorders>
          </w:tcPr>
          <w:p w:rsidR="00711F4A" w:rsidRPr="00A30437" w:rsidRDefault="00711F4A" w:rsidP="00BF3E6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FE39EF" w:rsidRPr="00A30437" w:rsidRDefault="00FE39EF" w:rsidP="00BF3E6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30437">
              <w:rPr>
                <w:rFonts w:cs="Times New Roman"/>
                <w:b/>
                <w:sz w:val="20"/>
                <w:szCs w:val="20"/>
              </w:rPr>
              <w:t>Medication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</w:tcPr>
          <w:p w:rsidR="00711F4A" w:rsidRPr="00A30437" w:rsidRDefault="00711F4A" w:rsidP="00BF3E6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FE39EF" w:rsidRPr="00A30437" w:rsidRDefault="00FE39EF" w:rsidP="00BF3E6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30437">
              <w:rPr>
                <w:rFonts w:cs="Times New Roman"/>
                <w:b/>
                <w:sz w:val="20"/>
                <w:szCs w:val="20"/>
              </w:rPr>
              <w:t>Drug</w:t>
            </w:r>
          </w:p>
          <w:p w:rsidR="00FE39EF" w:rsidRPr="00A30437" w:rsidRDefault="00FE39EF" w:rsidP="00BF3E6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30437">
              <w:rPr>
                <w:rFonts w:cs="Times New Roman"/>
                <w:b/>
                <w:sz w:val="20"/>
                <w:szCs w:val="20"/>
              </w:rPr>
              <w:t>Classification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</w:tcPr>
          <w:p w:rsidR="00711F4A" w:rsidRPr="00A30437" w:rsidRDefault="00711F4A" w:rsidP="00BF3E6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FE39EF" w:rsidRPr="00A30437" w:rsidRDefault="00FE39EF" w:rsidP="00BF3E6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30437">
              <w:rPr>
                <w:rFonts w:cs="Times New Roman"/>
                <w:b/>
                <w:sz w:val="20"/>
                <w:szCs w:val="20"/>
              </w:rPr>
              <w:t>Indications</w:t>
            </w:r>
          </w:p>
          <w:p w:rsidR="00FE39EF" w:rsidRPr="00A30437" w:rsidRDefault="00FE39EF" w:rsidP="00BF3E6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67" w:type="dxa"/>
            <w:gridSpan w:val="2"/>
            <w:tcBorders>
              <w:top w:val="single" w:sz="4" w:space="0" w:color="auto"/>
            </w:tcBorders>
          </w:tcPr>
          <w:p w:rsidR="00711F4A" w:rsidRPr="00A30437" w:rsidRDefault="00711F4A" w:rsidP="00BF3E6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FE39EF" w:rsidRPr="00A30437" w:rsidRDefault="00FE39EF" w:rsidP="00BF3E6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30437">
              <w:rPr>
                <w:rFonts w:cs="Times New Roman"/>
                <w:b/>
                <w:sz w:val="20"/>
                <w:szCs w:val="20"/>
              </w:rPr>
              <w:t>Safe Dosage Range</w:t>
            </w:r>
          </w:p>
          <w:p w:rsidR="00FE39EF" w:rsidRPr="00A30437" w:rsidRDefault="00FE39EF" w:rsidP="00BF3E6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:rsidR="00711F4A" w:rsidRPr="00A30437" w:rsidRDefault="00711F4A" w:rsidP="00C37470">
            <w:pPr>
              <w:rPr>
                <w:rFonts w:cs="Times New Roman"/>
                <w:b/>
                <w:sz w:val="20"/>
                <w:szCs w:val="20"/>
              </w:rPr>
            </w:pPr>
          </w:p>
          <w:p w:rsidR="00FE39EF" w:rsidRPr="00A30437" w:rsidRDefault="00FE39EF" w:rsidP="00C37470">
            <w:pPr>
              <w:rPr>
                <w:rFonts w:cs="Times New Roman"/>
                <w:b/>
                <w:sz w:val="20"/>
                <w:szCs w:val="20"/>
              </w:rPr>
            </w:pPr>
            <w:r w:rsidRPr="00A30437">
              <w:rPr>
                <w:rFonts w:cs="Times New Roman"/>
                <w:b/>
                <w:sz w:val="20"/>
                <w:szCs w:val="20"/>
              </w:rPr>
              <w:t>How is it generally administered</w:t>
            </w:r>
          </w:p>
        </w:tc>
        <w:tc>
          <w:tcPr>
            <w:tcW w:w="952" w:type="dxa"/>
            <w:tcBorders>
              <w:top w:val="single" w:sz="4" w:space="0" w:color="auto"/>
            </w:tcBorders>
          </w:tcPr>
          <w:p w:rsidR="00FE39EF" w:rsidRPr="00A30437" w:rsidRDefault="00FE39EF" w:rsidP="00C37470">
            <w:pPr>
              <w:rPr>
                <w:rFonts w:cs="Times New Roman"/>
                <w:b/>
                <w:sz w:val="20"/>
                <w:szCs w:val="20"/>
              </w:rPr>
            </w:pPr>
            <w:r w:rsidRPr="00A30437">
              <w:rPr>
                <w:rFonts w:cs="Times New Roman"/>
                <w:b/>
                <w:sz w:val="20"/>
                <w:szCs w:val="20"/>
              </w:rPr>
              <w:t>Push Rate, Infusion Rate, Dilution</w:t>
            </w:r>
          </w:p>
        </w:tc>
        <w:tc>
          <w:tcPr>
            <w:tcW w:w="1298" w:type="dxa"/>
            <w:tcBorders>
              <w:top w:val="single" w:sz="4" w:space="0" w:color="auto"/>
            </w:tcBorders>
          </w:tcPr>
          <w:p w:rsidR="00711F4A" w:rsidRPr="00A30437" w:rsidRDefault="00711F4A" w:rsidP="00C37470">
            <w:pPr>
              <w:rPr>
                <w:rFonts w:cs="Times New Roman"/>
                <w:b/>
                <w:sz w:val="20"/>
                <w:szCs w:val="20"/>
              </w:rPr>
            </w:pPr>
          </w:p>
          <w:p w:rsidR="00711F4A" w:rsidRPr="00A30437" w:rsidRDefault="00711F4A" w:rsidP="00C37470">
            <w:pPr>
              <w:rPr>
                <w:rFonts w:cs="Times New Roman"/>
                <w:b/>
                <w:sz w:val="20"/>
                <w:szCs w:val="20"/>
              </w:rPr>
            </w:pPr>
          </w:p>
          <w:p w:rsidR="00FE39EF" w:rsidRPr="00A30437" w:rsidRDefault="00FE39EF" w:rsidP="00C37470">
            <w:pPr>
              <w:rPr>
                <w:rFonts w:cs="Times New Roman"/>
                <w:b/>
                <w:sz w:val="20"/>
                <w:szCs w:val="20"/>
              </w:rPr>
            </w:pPr>
            <w:r w:rsidRPr="00A30437">
              <w:rPr>
                <w:rFonts w:cs="Times New Roman"/>
                <w:b/>
                <w:sz w:val="20"/>
                <w:szCs w:val="20"/>
              </w:rPr>
              <w:t>Contraindications</w:t>
            </w:r>
          </w:p>
        </w:tc>
        <w:tc>
          <w:tcPr>
            <w:tcW w:w="1497" w:type="dxa"/>
            <w:tcBorders>
              <w:top w:val="single" w:sz="4" w:space="0" w:color="auto"/>
            </w:tcBorders>
          </w:tcPr>
          <w:p w:rsidR="00711F4A" w:rsidRPr="00A30437" w:rsidRDefault="00711F4A" w:rsidP="00BF3E6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711F4A" w:rsidRPr="00A30437" w:rsidRDefault="00711F4A" w:rsidP="00BF3E6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FE39EF" w:rsidRPr="00A30437" w:rsidRDefault="00FE39EF" w:rsidP="00BF3E6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A30437">
              <w:rPr>
                <w:rFonts w:cs="Times New Roman"/>
                <w:b/>
                <w:sz w:val="20"/>
                <w:szCs w:val="20"/>
              </w:rPr>
              <w:t>Side effects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</w:tcBorders>
          </w:tcPr>
          <w:p w:rsidR="00FE39EF" w:rsidRPr="00A30437" w:rsidRDefault="00FE39EF" w:rsidP="00BF3E6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30437">
              <w:rPr>
                <w:rFonts w:cs="Times New Roman"/>
                <w:b/>
                <w:sz w:val="20"/>
                <w:szCs w:val="20"/>
              </w:rPr>
              <w:t>Nursing Implications or Considerations</w:t>
            </w:r>
          </w:p>
          <w:p w:rsidR="00FE39EF" w:rsidRPr="00A30437" w:rsidRDefault="00FE39EF" w:rsidP="00BF3E6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30437">
              <w:rPr>
                <w:rFonts w:cs="Times New Roman"/>
                <w:b/>
                <w:sz w:val="20"/>
                <w:szCs w:val="20"/>
              </w:rPr>
              <w:t>(Assessment Needed PRIOR to med admin</w:t>
            </w:r>
          </w:p>
        </w:tc>
      </w:tr>
      <w:tr w:rsidR="00FE39EF" w:rsidRPr="008A39C1" w:rsidTr="008A39C1">
        <w:trPr>
          <w:trHeight w:val="638"/>
        </w:trPr>
        <w:tc>
          <w:tcPr>
            <w:tcW w:w="1170" w:type="dxa"/>
            <w:gridSpan w:val="2"/>
          </w:tcPr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Adenosine</w:t>
            </w:r>
          </w:p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</w:p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</w:tcPr>
          <w:p w:rsidR="00FE39EF" w:rsidRPr="008A39C1" w:rsidRDefault="00EC53A4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Anti-</w:t>
            </w:r>
            <w:proofErr w:type="spellStart"/>
            <w:r w:rsidRPr="008A39C1">
              <w:rPr>
                <w:rFonts w:cs="Times New Roman"/>
                <w:sz w:val="20"/>
                <w:szCs w:val="20"/>
              </w:rPr>
              <w:t>arrythmic</w:t>
            </w:r>
            <w:proofErr w:type="spellEnd"/>
            <w:r w:rsidRPr="008A39C1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gridSpan w:val="2"/>
          </w:tcPr>
          <w:p w:rsidR="00FE39EF" w:rsidRPr="008A39C1" w:rsidRDefault="00EC53A4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Supraventricular tachycardia in heart failure</w:t>
            </w:r>
          </w:p>
        </w:tc>
        <w:tc>
          <w:tcPr>
            <w:tcW w:w="967" w:type="dxa"/>
            <w:gridSpan w:val="2"/>
          </w:tcPr>
          <w:p w:rsidR="00FE39EF" w:rsidRPr="008A39C1" w:rsidRDefault="00EC53A4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6-12mg</w:t>
            </w:r>
          </w:p>
        </w:tc>
        <w:tc>
          <w:tcPr>
            <w:tcW w:w="1373" w:type="dxa"/>
          </w:tcPr>
          <w:p w:rsidR="00FE39EF" w:rsidRPr="008A39C1" w:rsidRDefault="00EC53A4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Intravenously </w:t>
            </w:r>
          </w:p>
        </w:tc>
        <w:tc>
          <w:tcPr>
            <w:tcW w:w="952" w:type="dxa"/>
          </w:tcPr>
          <w:p w:rsidR="00FE39EF" w:rsidRPr="008A39C1" w:rsidRDefault="00EC53A4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6mg over 2 seconds,</w:t>
            </w:r>
          </w:p>
          <w:p w:rsidR="00EC53A4" w:rsidRPr="008A39C1" w:rsidRDefault="00EC53A4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12mg over 1-2 minutes </w:t>
            </w:r>
          </w:p>
        </w:tc>
        <w:tc>
          <w:tcPr>
            <w:tcW w:w="1298" w:type="dxa"/>
          </w:tcPr>
          <w:p w:rsidR="00FE39EF" w:rsidRPr="008A39C1" w:rsidRDefault="00EC53A4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Second or third AV heart block, sick sinus syndrome,</w:t>
            </w:r>
          </w:p>
          <w:p w:rsidR="00EC53A4" w:rsidRPr="008A39C1" w:rsidRDefault="00EC53A4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Long QT syndrome, severe hypotension, decompensated heart failure, COPD. </w:t>
            </w:r>
          </w:p>
        </w:tc>
        <w:tc>
          <w:tcPr>
            <w:tcW w:w="1497" w:type="dxa"/>
          </w:tcPr>
          <w:p w:rsidR="00FE39EF" w:rsidRPr="008A39C1" w:rsidRDefault="00EC53A4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Nausea, arrhythmias, AV block, dizziness, dyspnea, and headache. </w:t>
            </w:r>
          </w:p>
        </w:tc>
        <w:tc>
          <w:tcPr>
            <w:tcW w:w="1445" w:type="dxa"/>
            <w:gridSpan w:val="2"/>
          </w:tcPr>
          <w:p w:rsidR="00FE39EF" w:rsidRPr="008A39C1" w:rsidRDefault="00EC53A4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Monitor vital signs, monitor ECG, </w:t>
            </w:r>
            <w:r w:rsidR="00275D73" w:rsidRPr="008A39C1">
              <w:rPr>
                <w:rFonts w:cs="Times New Roman"/>
                <w:sz w:val="20"/>
                <w:szCs w:val="20"/>
              </w:rPr>
              <w:t>and ensure</w:t>
            </w:r>
            <w:r w:rsidR="00421C13" w:rsidRPr="008A39C1">
              <w:rPr>
                <w:rFonts w:cs="Times New Roman"/>
                <w:sz w:val="20"/>
                <w:szCs w:val="20"/>
              </w:rPr>
              <w:t xml:space="preserve"> that the patient is well hydrated and good ventilation. </w:t>
            </w:r>
          </w:p>
        </w:tc>
      </w:tr>
      <w:tr w:rsidR="00FE39EF" w:rsidRPr="008A39C1" w:rsidTr="008A39C1">
        <w:tc>
          <w:tcPr>
            <w:tcW w:w="1170" w:type="dxa"/>
            <w:gridSpan w:val="2"/>
          </w:tcPr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A39C1">
              <w:rPr>
                <w:rFonts w:cs="Times New Roman"/>
                <w:sz w:val="20"/>
                <w:szCs w:val="20"/>
              </w:rPr>
              <w:t>Amiodarone</w:t>
            </w:r>
            <w:proofErr w:type="spellEnd"/>
          </w:p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</w:p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</w:p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</w:tcPr>
          <w:p w:rsidR="00FE39EF" w:rsidRPr="008A39C1" w:rsidRDefault="00421C13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Anti-</w:t>
            </w:r>
            <w:proofErr w:type="spellStart"/>
            <w:r w:rsidRPr="008A39C1">
              <w:rPr>
                <w:rFonts w:cs="Times New Roman"/>
                <w:sz w:val="20"/>
                <w:szCs w:val="20"/>
              </w:rPr>
              <w:t>arrythmics</w:t>
            </w:r>
            <w:proofErr w:type="spellEnd"/>
            <w:r w:rsidRPr="008A39C1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gridSpan w:val="2"/>
          </w:tcPr>
          <w:p w:rsidR="00FE39EF" w:rsidRPr="008A39C1" w:rsidRDefault="00421C13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Supraventricular and ventricular anti-</w:t>
            </w:r>
            <w:proofErr w:type="spellStart"/>
            <w:r w:rsidRPr="008A39C1">
              <w:rPr>
                <w:rFonts w:cs="Times New Roman"/>
                <w:sz w:val="20"/>
                <w:szCs w:val="20"/>
              </w:rPr>
              <w:t>arrythmics</w:t>
            </w:r>
            <w:proofErr w:type="spellEnd"/>
            <w:r w:rsidRPr="008A39C1">
              <w:rPr>
                <w:rFonts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967" w:type="dxa"/>
            <w:gridSpan w:val="2"/>
          </w:tcPr>
          <w:p w:rsidR="00FE39EF" w:rsidRPr="008A39C1" w:rsidRDefault="00421C13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200mg </w:t>
            </w:r>
          </w:p>
        </w:tc>
        <w:tc>
          <w:tcPr>
            <w:tcW w:w="1373" w:type="dxa"/>
          </w:tcPr>
          <w:p w:rsidR="00FE39EF" w:rsidRPr="008A39C1" w:rsidRDefault="00421C13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Orally, Intravenous </w:t>
            </w:r>
          </w:p>
        </w:tc>
        <w:tc>
          <w:tcPr>
            <w:tcW w:w="952" w:type="dxa"/>
          </w:tcPr>
          <w:p w:rsidR="00FE39EF" w:rsidRPr="008A39C1" w:rsidRDefault="00421C13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200mg TDS,</w:t>
            </w:r>
          </w:p>
          <w:p w:rsidR="00421C13" w:rsidRPr="008A39C1" w:rsidRDefault="00421C13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5mg/kg intravenously over 20-50 minutes.</w:t>
            </w:r>
          </w:p>
        </w:tc>
        <w:tc>
          <w:tcPr>
            <w:tcW w:w="1298" w:type="dxa"/>
          </w:tcPr>
          <w:p w:rsidR="00FE39EF" w:rsidRPr="008A39C1" w:rsidRDefault="00421C13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Hypersensitivity of the drug, </w:t>
            </w:r>
            <w:r w:rsidRPr="008A39C1">
              <w:rPr>
                <w:rFonts w:cs="Times New Roman"/>
                <w:sz w:val="20"/>
                <w:szCs w:val="20"/>
              </w:rPr>
              <w:t>Second or third AV heart block</w:t>
            </w:r>
            <w:r w:rsidRPr="008A39C1">
              <w:rPr>
                <w:rFonts w:cs="Times New Roman"/>
                <w:sz w:val="20"/>
                <w:szCs w:val="20"/>
              </w:rPr>
              <w:t xml:space="preserve">, severe sinus-node dysfunction, </w:t>
            </w:r>
            <w:proofErr w:type="spellStart"/>
            <w:r w:rsidRPr="008A39C1">
              <w:rPr>
                <w:rFonts w:cs="Times New Roman"/>
                <w:sz w:val="20"/>
                <w:szCs w:val="20"/>
              </w:rPr>
              <w:t>CCF</w:t>
            </w:r>
            <w:proofErr w:type="gramStart"/>
            <w:r w:rsidRPr="008A39C1">
              <w:rPr>
                <w:rFonts w:cs="Times New Roman"/>
                <w:sz w:val="20"/>
                <w:szCs w:val="20"/>
              </w:rPr>
              <w:t>,severe</w:t>
            </w:r>
            <w:proofErr w:type="spellEnd"/>
            <w:proofErr w:type="gramEnd"/>
            <w:r w:rsidRPr="008A39C1">
              <w:rPr>
                <w:rFonts w:cs="Times New Roman"/>
                <w:sz w:val="20"/>
                <w:szCs w:val="20"/>
              </w:rPr>
              <w:t xml:space="preserve"> arterial hypotension. </w:t>
            </w:r>
          </w:p>
        </w:tc>
        <w:tc>
          <w:tcPr>
            <w:tcW w:w="1497" w:type="dxa"/>
          </w:tcPr>
          <w:p w:rsidR="00FE39EF" w:rsidRPr="008A39C1" w:rsidRDefault="00421C13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Corneal micro-deposit, fibrosis, CCF, raised intra-ocular pressure. </w:t>
            </w:r>
          </w:p>
        </w:tc>
        <w:tc>
          <w:tcPr>
            <w:tcW w:w="1445" w:type="dxa"/>
            <w:gridSpan w:val="2"/>
          </w:tcPr>
          <w:p w:rsidR="00FE39EF" w:rsidRPr="008A39C1" w:rsidRDefault="00275D73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monitor ECG</w:t>
            </w:r>
            <w:r w:rsidRPr="008A39C1">
              <w:rPr>
                <w:rFonts w:cs="Times New Roman"/>
                <w:sz w:val="20"/>
                <w:szCs w:val="20"/>
              </w:rPr>
              <w:t xml:space="preserve">, well hydrated, stable vital signs, ensure that the patient is not in renal and hepatic failure, electrolytes are stable especially potassium ions. </w:t>
            </w:r>
          </w:p>
        </w:tc>
      </w:tr>
      <w:tr w:rsidR="00447C90" w:rsidRPr="008A39C1" w:rsidTr="008A39C1">
        <w:tc>
          <w:tcPr>
            <w:tcW w:w="1170" w:type="dxa"/>
            <w:gridSpan w:val="2"/>
          </w:tcPr>
          <w:p w:rsidR="00447C90" w:rsidRPr="008A39C1" w:rsidRDefault="00447C90" w:rsidP="00447C90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Epinephrine</w:t>
            </w:r>
          </w:p>
          <w:p w:rsidR="00447C90" w:rsidRPr="008A39C1" w:rsidRDefault="00447C90" w:rsidP="00447C90">
            <w:pPr>
              <w:rPr>
                <w:rFonts w:cs="Times New Roman"/>
                <w:sz w:val="20"/>
                <w:szCs w:val="20"/>
              </w:rPr>
            </w:pPr>
          </w:p>
          <w:p w:rsidR="00447C90" w:rsidRPr="008A39C1" w:rsidRDefault="00447C90" w:rsidP="00447C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</w:tcPr>
          <w:p w:rsidR="00447C90" w:rsidRPr="008A39C1" w:rsidRDefault="000C5B16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Alpha and beta agonist </w:t>
            </w:r>
          </w:p>
        </w:tc>
        <w:tc>
          <w:tcPr>
            <w:tcW w:w="1260" w:type="dxa"/>
            <w:gridSpan w:val="2"/>
          </w:tcPr>
          <w:p w:rsidR="00447C90" w:rsidRPr="008A39C1" w:rsidRDefault="000C5B16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Severe hypersensitivity reactions like anaphylactic shock, bronchospasms and life-</w:t>
            </w:r>
            <w:r w:rsidRPr="008A39C1">
              <w:rPr>
                <w:rFonts w:cs="Times New Roman"/>
                <w:sz w:val="20"/>
                <w:szCs w:val="20"/>
              </w:rPr>
              <w:lastRenderedPageBreak/>
              <w:t xml:space="preserve">threatening angioedema. </w:t>
            </w:r>
          </w:p>
        </w:tc>
        <w:tc>
          <w:tcPr>
            <w:tcW w:w="967" w:type="dxa"/>
            <w:gridSpan w:val="2"/>
          </w:tcPr>
          <w:p w:rsidR="00447C90" w:rsidRPr="008A39C1" w:rsidRDefault="000C5B16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lastRenderedPageBreak/>
              <w:t xml:space="preserve">0.5ml in adult </w:t>
            </w:r>
          </w:p>
        </w:tc>
        <w:tc>
          <w:tcPr>
            <w:tcW w:w="1373" w:type="dxa"/>
          </w:tcPr>
          <w:p w:rsidR="00447C90" w:rsidRPr="008A39C1" w:rsidRDefault="000C5B16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Intramuscular </w:t>
            </w:r>
          </w:p>
        </w:tc>
        <w:tc>
          <w:tcPr>
            <w:tcW w:w="952" w:type="dxa"/>
          </w:tcPr>
          <w:p w:rsidR="00447C90" w:rsidRPr="008A39C1" w:rsidRDefault="000C5B16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0.5ml over 1 min. </w:t>
            </w:r>
          </w:p>
        </w:tc>
        <w:tc>
          <w:tcPr>
            <w:tcW w:w="1298" w:type="dxa"/>
          </w:tcPr>
          <w:p w:rsidR="00447C90" w:rsidRPr="008A39C1" w:rsidRDefault="000C5B16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Heart failure </w:t>
            </w:r>
          </w:p>
        </w:tc>
        <w:tc>
          <w:tcPr>
            <w:tcW w:w="1497" w:type="dxa"/>
          </w:tcPr>
          <w:p w:rsidR="00447C90" w:rsidRPr="008A39C1" w:rsidRDefault="000C5B16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Arrhythmias</w:t>
            </w:r>
          </w:p>
        </w:tc>
        <w:tc>
          <w:tcPr>
            <w:tcW w:w="1445" w:type="dxa"/>
            <w:gridSpan w:val="2"/>
          </w:tcPr>
          <w:p w:rsidR="00447C90" w:rsidRPr="008A39C1" w:rsidRDefault="000C5B16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Well ventilation, ECG monitoring </w:t>
            </w:r>
          </w:p>
        </w:tc>
      </w:tr>
      <w:tr w:rsidR="00FE39EF" w:rsidRPr="008A39C1" w:rsidTr="008A39C1">
        <w:tc>
          <w:tcPr>
            <w:tcW w:w="1170" w:type="dxa"/>
            <w:gridSpan w:val="2"/>
          </w:tcPr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lastRenderedPageBreak/>
              <w:t>Atropine</w:t>
            </w:r>
          </w:p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</w:p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</w:p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</w:tcPr>
          <w:p w:rsidR="00FE39EF" w:rsidRPr="008A39C1" w:rsidRDefault="00F83FA5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Antimuscurinic </w:t>
            </w:r>
          </w:p>
        </w:tc>
        <w:tc>
          <w:tcPr>
            <w:tcW w:w="1260" w:type="dxa"/>
            <w:gridSpan w:val="2"/>
          </w:tcPr>
          <w:p w:rsidR="00FE39EF" w:rsidRPr="008A39C1" w:rsidRDefault="00F83FA5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Organophosphate poisoning, diagnosis of sinus node dysfunction, drying of bronchial and salivary secretions during anesthetic procedures. </w:t>
            </w:r>
          </w:p>
        </w:tc>
        <w:tc>
          <w:tcPr>
            <w:tcW w:w="967" w:type="dxa"/>
            <w:gridSpan w:val="2"/>
          </w:tcPr>
          <w:p w:rsidR="00FE39EF" w:rsidRPr="008A39C1" w:rsidRDefault="00F83FA5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300-600micrograms</w:t>
            </w:r>
          </w:p>
        </w:tc>
        <w:tc>
          <w:tcPr>
            <w:tcW w:w="1373" w:type="dxa"/>
          </w:tcPr>
          <w:p w:rsidR="00FE39EF" w:rsidRPr="008A39C1" w:rsidRDefault="00F83FA5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Intravenous ,</w:t>
            </w:r>
          </w:p>
          <w:p w:rsidR="00F83FA5" w:rsidRPr="008A39C1" w:rsidRDefault="00F83FA5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Intramuscular </w:t>
            </w:r>
          </w:p>
        </w:tc>
        <w:tc>
          <w:tcPr>
            <w:tcW w:w="952" w:type="dxa"/>
          </w:tcPr>
          <w:p w:rsidR="00FE39EF" w:rsidRPr="008A39C1" w:rsidRDefault="00F83FA5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2mg every 30 minutes</w:t>
            </w:r>
          </w:p>
        </w:tc>
        <w:tc>
          <w:tcPr>
            <w:tcW w:w="1298" w:type="dxa"/>
          </w:tcPr>
          <w:p w:rsidR="00FE39EF" w:rsidRPr="008A39C1" w:rsidRDefault="00F83FA5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Prostate enlargement, paralytic ileus, pyloric stenosis, high ambient temperatures. </w:t>
            </w:r>
          </w:p>
        </w:tc>
        <w:tc>
          <w:tcPr>
            <w:tcW w:w="1497" w:type="dxa"/>
          </w:tcPr>
          <w:p w:rsidR="00FE39EF" w:rsidRPr="008A39C1" w:rsidRDefault="00F83FA5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Dry mouth, blurred vision, </w:t>
            </w:r>
            <w:proofErr w:type="spellStart"/>
            <w:r w:rsidRPr="008A39C1">
              <w:rPr>
                <w:rFonts w:cs="Times New Roman"/>
                <w:sz w:val="20"/>
                <w:szCs w:val="20"/>
              </w:rPr>
              <w:t>cycloplegia</w:t>
            </w:r>
            <w:proofErr w:type="spellEnd"/>
            <w:r w:rsidRPr="008A39C1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Pr="008A39C1">
              <w:rPr>
                <w:rFonts w:cs="Times New Roman"/>
                <w:sz w:val="20"/>
                <w:szCs w:val="20"/>
              </w:rPr>
              <w:t>mydriasis</w:t>
            </w:r>
            <w:proofErr w:type="spellEnd"/>
            <w:r w:rsidRPr="008A39C1">
              <w:rPr>
                <w:rFonts w:cs="Times New Roman"/>
                <w:sz w:val="20"/>
                <w:szCs w:val="20"/>
              </w:rPr>
              <w:t>, flushing, and insomnia.</w:t>
            </w:r>
          </w:p>
        </w:tc>
        <w:tc>
          <w:tcPr>
            <w:tcW w:w="1445" w:type="dxa"/>
            <w:gridSpan w:val="2"/>
          </w:tcPr>
          <w:p w:rsidR="00FE39EF" w:rsidRPr="008A39C1" w:rsidRDefault="00F83FA5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Monitor vital signs, ensure patient’s kidneys and liver are working properly, the patient does not have myasthenia gravis or down syndrome. </w:t>
            </w:r>
          </w:p>
        </w:tc>
      </w:tr>
      <w:tr w:rsidR="00FE39EF" w:rsidRPr="008A39C1" w:rsidTr="008A39C1">
        <w:trPr>
          <w:trHeight w:val="350"/>
        </w:trPr>
        <w:tc>
          <w:tcPr>
            <w:tcW w:w="1170" w:type="dxa"/>
            <w:gridSpan w:val="2"/>
          </w:tcPr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Dopamine</w:t>
            </w:r>
          </w:p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</w:p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</w:p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</w:tcPr>
          <w:p w:rsidR="00FE39EF" w:rsidRPr="008A39C1" w:rsidRDefault="00CA07A9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Inotropic sympathomimetic </w:t>
            </w:r>
          </w:p>
        </w:tc>
        <w:tc>
          <w:tcPr>
            <w:tcW w:w="1260" w:type="dxa"/>
            <w:gridSpan w:val="2"/>
          </w:tcPr>
          <w:p w:rsidR="00FE39EF" w:rsidRPr="008A39C1" w:rsidRDefault="00CA07A9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Cardiogenic shock in infarction or cardiac surgery. </w:t>
            </w:r>
          </w:p>
        </w:tc>
        <w:tc>
          <w:tcPr>
            <w:tcW w:w="967" w:type="dxa"/>
            <w:gridSpan w:val="2"/>
          </w:tcPr>
          <w:p w:rsidR="00FE39EF" w:rsidRPr="008A39C1" w:rsidRDefault="00CA07A9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2-5micrograms per kg</w:t>
            </w:r>
          </w:p>
        </w:tc>
        <w:tc>
          <w:tcPr>
            <w:tcW w:w="1373" w:type="dxa"/>
          </w:tcPr>
          <w:p w:rsidR="00FE39EF" w:rsidRPr="008A39C1" w:rsidRDefault="00CA07A9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Intravenous</w:t>
            </w:r>
          </w:p>
        </w:tc>
        <w:tc>
          <w:tcPr>
            <w:tcW w:w="952" w:type="dxa"/>
          </w:tcPr>
          <w:p w:rsidR="00FE39EF" w:rsidRPr="008A39C1" w:rsidRDefault="00CA07A9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2-5microgrm/kg/min</w:t>
            </w:r>
          </w:p>
        </w:tc>
        <w:tc>
          <w:tcPr>
            <w:tcW w:w="1298" w:type="dxa"/>
          </w:tcPr>
          <w:p w:rsidR="00FE39EF" w:rsidRPr="008A39C1" w:rsidRDefault="00CA07A9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Hypovolemic shock</w:t>
            </w:r>
          </w:p>
        </w:tc>
        <w:tc>
          <w:tcPr>
            <w:tcW w:w="1497" w:type="dxa"/>
          </w:tcPr>
          <w:p w:rsidR="00FE39EF" w:rsidRPr="008A39C1" w:rsidRDefault="00CA07A9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Hypotension, hypertension, </w:t>
            </w:r>
            <w:r w:rsidR="0060373D" w:rsidRPr="008A39C1">
              <w:rPr>
                <w:rFonts w:cs="Times New Roman"/>
                <w:sz w:val="20"/>
                <w:szCs w:val="20"/>
              </w:rPr>
              <w:t>tachycardia, peripheral vasoconstriction</w:t>
            </w:r>
          </w:p>
        </w:tc>
        <w:tc>
          <w:tcPr>
            <w:tcW w:w="1445" w:type="dxa"/>
            <w:gridSpan w:val="2"/>
          </w:tcPr>
          <w:p w:rsidR="00FE39EF" w:rsidRPr="008A39C1" w:rsidRDefault="0060373D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Monitor vital signs, ECG monitoring, input/output chart. </w:t>
            </w:r>
          </w:p>
        </w:tc>
      </w:tr>
      <w:tr w:rsidR="00FE39EF" w:rsidRPr="008A39C1" w:rsidTr="008A39C1">
        <w:tc>
          <w:tcPr>
            <w:tcW w:w="1170" w:type="dxa"/>
            <w:gridSpan w:val="2"/>
          </w:tcPr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Heparin</w:t>
            </w:r>
          </w:p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</w:p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</w:p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</w:tcPr>
          <w:p w:rsidR="00FE39EF" w:rsidRPr="008A39C1" w:rsidRDefault="0060373D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Anti-coagulant </w:t>
            </w:r>
          </w:p>
        </w:tc>
        <w:tc>
          <w:tcPr>
            <w:tcW w:w="1260" w:type="dxa"/>
            <w:gridSpan w:val="2"/>
          </w:tcPr>
          <w:p w:rsidR="00FE39EF" w:rsidRPr="008A39C1" w:rsidRDefault="0060373D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Deep venous thrombosis, pulmonary embolism, unstable angina, prophylaxis in orthopedic surgery. </w:t>
            </w:r>
          </w:p>
        </w:tc>
        <w:tc>
          <w:tcPr>
            <w:tcW w:w="967" w:type="dxa"/>
            <w:gridSpan w:val="2"/>
          </w:tcPr>
          <w:p w:rsidR="00FE39EF" w:rsidRPr="008A39C1" w:rsidRDefault="0060373D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5000 international units. </w:t>
            </w:r>
          </w:p>
        </w:tc>
        <w:tc>
          <w:tcPr>
            <w:tcW w:w="1373" w:type="dxa"/>
          </w:tcPr>
          <w:p w:rsidR="00FE39EF" w:rsidRPr="008A39C1" w:rsidRDefault="0060373D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Subcutaneous </w:t>
            </w:r>
          </w:p>
        </w:tc>
        <w:tc>
          <w:tcPr>
            <w:tcW w:w="952" w:type="dxa"/>
          </w:tcPr>
          <w:p w:rsidR="00FE39EF" w:rsidRPr="008A39C1" w:rsidRDefault="0060373D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5000 units BD</w:t>
            </w:r>
          </w:p>
        </w:tc>
        <w:tc>
          <w:tcPr>
            <w:tcW w:w="1298" w:type="dxa"/>
          </w:tcPr>
          <w:p w:rsidR="00FE39EF" w:rsidRPr="008A39C1" w:rsidRDefault="0060373D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Severe thrombocytopenia, bleeding disorders, hypersensitive to the medication. </w:t>
            </w:r>
          </w:p>
        </w:tc>
        <w:tc>
          <w:tcPr>
            <w:tcW w:w="1497" w:type="dxa"/>
          </w:tcPr>
          <w:p w:rsidR="00FE39EF" w:rsidRPr="008A39C1" w:rsidRDefault="0060373D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Hemorrhage, thrombocytopenia, local irritation and necrosis. </w:t>
            </w:r>
          </w:p>
        </w:tc>
        <w:tc>
          <w:tcPr>
            <w:tcW w:w="1445" w:type="dxa"/>
            <w:gridSpan w:val="2"/>
          </w:tcPr>
          <w:p w:rsidR="00FE39EF" w:rsidRPr="008A39C1" w:rsidRDefault="0060373D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Ensure platelets are above 150, monitor vital signs, antidote should be available, screen for thrombophilia. </w:t>
            </w:r>
          </w:p>
        </w:tc>
      </w:tr>
      <w:tr w:rsidR="00FE39EF" w:rsidRPr="008A39C1" w:rsidTr="008A39C1">
        <w:tc>
          <w:tcPr>
            <w:tcW w:w="1170" w:type="dxa"/>
            <w:gridSpan w:val="2"/>
          </w:tcPr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Insulin-regular</w:t>
            </w:r>
          </w:p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</w:p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</w:p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</w:tcPr>
          <w:p w:rsidR="00FE39EF" w:rsidRPr="008A39C1" w:rsidRDefault="0060373D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Anti-diabetic </w:t>
            </w:r>
          </w:p>
        </w:tc>
        <w:tc>
          <w:tcPr>
            <w:tcW w:w="1260" w:type="dxa"/>
            <w:gridSpan w:val="2"/>
          </w:tcPr>
          <w:p w:rsidR="00FE39EF" w:rsidRPr="008A39C1" w:rsidRDefault="0060373D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Type 1 and</w:t>
            </w:r>
            <w:r w:rsidR="00F86D3B" w:rsidRPr="008A39C1">
              <w:rPr>
                <w:rFonts w:cs="Times New Roman"/>
                <w:sz w:val="20"/>
                <w:szCs w:val="20"/>
              </w:rPr>
              <w:t xml:space="preserve"> type 2 diabetes, hyperkalemia, diagnosis of growth hormone deficiency</w:t>
            </w:r>
          </w:p>
        </w:tc>
        <w:tc>
          <w:tcPr>
            <w:tcW w:w="967" w:type="dxa"/>
            <w:gridSpan w:val="2"/>
          </w:tcPr>
          <w:p w:rsidR="00FE39EF" w:rsidRPr="008A39C1" w:rsidRDefault="00F86D3B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5-10 units </w:t>
            </w:r>
          </w:p>
        </w:tc>
        <w:tc>
          <w:tcPr>
            <w:tcW w:w="1373" w:type="dxa"/>
          </w:tcPr>
          <w:p w:rsidR="00FE39EF" w:rsidRPr="008A39C1" w:rsidRDefault="00F86D3B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Intravenous,</w:t>
            </w:r>
          </w:p>
          <w:p w:rsidR="00F86D3B" w:rsidRPr="008A39C1" w:rsidRDefault="00F86D3B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Subcutaneous </w:t>
            </w:r>
          </w:p>
        </w:tc>
        <w:tc>
          <w:tcPr>
            <w:tcW w:w="952" w:type="dxa"/>
          </w:tcPr>
          <w:p w:rsidR="00FE39EF" w:rsidRPr="008A39C1" w:rsidRDefault="00F86D3B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5 units </w:t>
            </w:r>
            <w:r w:rsidR="00EF227A" w:rsidRPr="008A39C1">
              <w:rPr>
                <w:rFonts w:cs="Times New Roman"/>
                <w:sz w:val="20"/>
                <w:szCs w:val="20"/>
              </w:rPr>
              <w:t xml:space="preserve">after every meal. </w:t>
            </w:r>
          </w:p>
        </w:tc>
        <w:tc>
          <w:tcPr>
            <w:tcW w:w="1298" w:type="dxa"/>
          </w:tcPr>
          <w:p w:rsidR="00FE39EF" w:rsidRPr="008A39C1" w:rsidRDefault="00EF227A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Hypoglycemia </w:t>
            </w:r>
          </w:p>
        </w:tc>
        <w:tc>
          <w:tcPr>
            <w:tcW w:w="1497" w:type="dxa"/>
          </w:tcPr>
          <w:p w:rsidR="00FE39EF" w:rsidRPr="008A39C1" w:rsidRDefault="000C0CC1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Allergic reaction, fat hypertrophy at the injection site, weight gain, hypoglycemia. </w:t>
            </w:r>
          </w:p>
        </w:tc>
        <w:tc>
          <w:tcPr>
            <w:tcW w:w="1445" w:type="dxa"/>
            <w:gridSpan w:val="2"/>
          </w:tcPr>
          <w:p w:rsidR="00FE39EF" w:rsidRPr="008A39C1" w:rsidRDefault="000C0CC1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Monitor blood sugars, vital signs, and kidney and liver functions. </w:t>
            </w:r>
          </w:p>
        </w:tc>
      </w:tr>
      <w:tr w:rsidR="00FE39EF" w:rsidRPr="008A39C1" w:rsidTr="008A39C1">
        <w:tc>
          <w:tcPr>
            <w:tcW w:w="1170" w:type="dxa"/>
            <w:gridSpan w:val="2"/>
          </w:tcPr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A39C1">
              <w:rPr>
                <w:rFonts w:cs="Times New Roman"/>
                <w:sz w:val="20"/>
                <w:szCs w:val="20"/>
              </w:rPr>
              <w:t>Mannitol</w:t>
            </w:r>
            <w:proofErr w:type="spellEnd"/>
          </w:p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</w:p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</w:p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</w:tcPr>
          <w:p w:rsidR="00FE39EF" w:rsidRPr="008A39C1" w:rsidRDefault="000C0CC1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Osmotic diuretic </w:t>
            </w:r>
          </w:p>
        </w:tc>
        <w:tc>
          <w:tcPr>
            <w:tcW w:w="1260" w:type="dxa"/>
            <w:gridSpan w:val="2"/>
          </w:tcPr>
          <w:p w:rsidR="00FE39EF" w:rsidRPr="008A39C1" w:rsidRDefault="000C0CC1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Cerebral edema, increased intracranial pressure, elevated </w:t>
            </w:r>
            <w:r w:rsidRPr="008A39C1">
              <w:rPr>
                <w:rFonts w:cs="Times New Roman"/>
                <w:sz w:val="20"/>
                <w:szCs w:val="20"/>
              </w:rPr>
              <w:lastRenderedPageBreak/>
              <w:t xml:space="preserve">intra-ocular pressure. </w:t>
            </w:r>
          </w:p>
        </w:tc>
        <w:tc>
          <w:tcPr>
            <w:tcW w:w="967" w:type="dxa"/>
            <w:gridSpan w:val="2"/>
          </w:tcPr>
          <w:p w:rsidR="00FE39EF" w:rsidRPr="008A39C1" w:rsidRDefault="000C0CC1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lastRenderedPageBreak/>
              <w:t>1g/kg as 20%</w:t>
            </w:r>
          </w:p>
        </w:tc>
        <w:tc>
          <w:tcPr>
            <w:tcW w:w="1373" w:type="dxa"/>
          </w:tcPr>
          <w:p w:rsidR="00FE39EF" w:rsidRPr="008A39C1" w:rsidRDefault="000C0CC1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Intravenous infusion </w:t>
            </w:r>
          </w:p>
        </w:tc>
        <w:tc>
          <w:tcPr>
            <w:tcW w:w="952" w:type="dxa"/>
          </w:tcPr>
          <w:p w:rsidR="00FE39EF" w:rsidRPr="008A39C1" w:rsidRDefault="000C0CC1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1g/kg every 6 hours.</w:t>
            </w:r>
          </w:p>
        </w:tc>
        <w:tc>
          <w:tcPr>
            <w:tcW w:w="1298" w:type="dxa"/>
          </w:tcPr>
          <w:p w:rsidR="00FE39EF" w:rsidRPr="008A39C1" w:rsidRDefault="000C0CC1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Pulmonary edema, CCF</w:t>
            </w:r>
          </w:p>
        </w:tc>
        <w:tc>
          <w:tcPr>
            <w:tcW w:w="1497" w:type="dxa"/>
          </w:tcPr>
          <w:p w:rsidR="00FE39EF" w:rsidRPr="008A39C1" w:rsidRDefault="000C0CC1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Expansion of blood volume, chills, fever, chest pain, renal failure </w:t>
            </w:r>
          </w:p>
        </w:tc>
        <w:tc>
          <w:tcPr>
            <w:tcW w:w="1445" w:type="dxa"/>
            <w:gridSpan w:val="2"/>
          </w:tcPr>
          <w:p w:rsidR="00FE39EF" w:rsidRPr="008A39C1" w:rsidRDefault="000C0CC1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Monitor vital signs, ECG recording, renal function is intact, not in heart failure. </w:t>
            </w:r>
          </w:p>
        </w:tc>
      </w:tr>
      <w:tr w:rsidR="00FE39EF" w:rsidRPr="008A39C1" w:rsidTr="008A39C1">
        <w:tc>
          <w:tcPr>
            <w:tcW w:w="1170" w:type="dxa"/>
            <w:gridSpan w:val="2"/>
          </w:tcPr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lastRenderedPageBreak/>
              <w:t>Naprosyn</w:t>
            </w:r>
          </w:p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</w:p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</w:p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</w:tcPr>
          <w:p w:rsidR="00FE39EF" w:rsidRPr="008A39C1" w:rsidRDefault="000B3979" w:rsidP="00990609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A39C1">
              <w:rPr>
                <w:rFonts w:cs="Times New Roman"/>
                <w:sz w:val="20"/>
                <w:szCs w:val="20"/>
              </w:rPr>
              <w:t>Nonsteroidal</w:t>
            </w:r>
            <w:proofErr w:type="spellEnd"/>
            <w:r w:rsidRPr="008A39C1">
              <w:rPr>
                <w:rFonts w:cs="Times New Roman"/>
                <w:sz w:val="20"/>
                <w:szCs w:val="20"/>
              </w:rPr>
              <w:t xml:space="preserve"> anti-inflammatory drugs (NSAID)</w:t>
            </w:r>
          </w:p>
        </w:tc>
        <w:tc>
          <w:tcPr>
            <w:tcW w:w="1260" w:type="dxa"/>
            <w:gridSpan w:val="2"/>
          </w:tcPr>
          <w:p w:rsidR="00FE39EF" w:rsidRPr="008A39C1" w:rsidRDefault="000B3979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Pain, pyretic, </w:t>
            </w:r>
            <w:proofErr w:type="spellStart"/>
            <w:r w:rsidRPr="008A39C1">
              <w:rPr>
                <w:rFonts w:cs="Times New Roman"/>
                <w:sz w:val="20"/>
                <w:szCs w:val="20"/>
              </w:rPr>
              <w:t>fibrositis</w:t>
            </w:r>
            <w:proofErr w:type="spellEnd"/>
            <w:r w:rsidRPr="008A39C1">
              <w:rPr>
                <w:rFonts w:cs="Times New Roman"/>
                <w:sz w:val="20"/>
                <w:szCs w:val="20"/>
              </w:rPr>
              <w:t>, osteoarthritis, rheumatic spondylitis</w:t>
            </w:r>
          </w:p>
        </w:tc>
        <w:tc>
          <w:tcPr>
            <w:tcW w:w="967" w:type="dxa"/>
            <w:gridSpan w:val="2"/>
          </w:tcPr>
          <w:p w:rsidR="00FE39EF" w:rsidRPr="008A39C1" w:rsidRDefault="000B3979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500mg, 1g</w:t>
            </w:r>
          </w:p>
        </w:tc>
        <w:tc>
          <w:tcPr>
            <w:tcW w:w="1373" w:type="dxa"/>
          </w:tcPr>
          <w:p w:rsidR="00FE39EF" w:rsidRPr="008A39C1" w:rsidRDefault="000B3979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Orally </w:t>
            </w:r>
          </w:p>
        </w:tc>
        <w:tc>
          <w:tcPr>
            <w:tcW w:w="952" w:type="dxa"/>
          </w:tcPr>
          <w:p w:rsidR="00FE39EF" w:rsidRPr="008A39C1" w:rsidRDefault="000B3979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500mg BID</w:t>
            </w:r>
          </w:p>
        </w:tc>
        <w:tc>
          <w:tcPr>
            <w:tcW w:w="1298" w:type="dxa"/>
          </w:tcPr>
          <w:p w:rsidR="00FE39EF" w:rsidRPr="008A39C1" w:rsidRDefault="000B3979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Peptic ulcers, hypersensitivity to the drug. </w:t>
            </w:r>
          </w:p>
        </w:tc>
        <w:tc>
          <w:tcPr>
            <w:tcW w:w="1497" w:type="dxa"/>
          </w:tcPr>
          <w:p w:rsidR="00FE39EF" w:rsidRPr="008A39C1" w:rsidRDefault="000B3979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Bronchospasm, GI disturbances, visual changes, blood </w:t>
            </w:r>
            <w:proofErr w:type="spellStart"/>
            <w:r w:rsidRPr="008A39C1">
              <w:rPr>
                <w:rFonts w:cs="Times New Roman"/>
                <w:sz w:val="20"/>
                <w:szCs w:val="20"/>
              </w:rPr>
              <w:t>dyscrasia</w:t>
            </w:r>
            <w:proofErr w:type="spellEnd"/>
            <w:r w:rsidRPr="008A39C1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5" w:type="dxa"/>
            <w:gridSpan w:val="2"/>
          </w:tcPr>
          <w:p w:rsidR="00FE39EF" w:rsidRPr="008A39C1" w:rsidRDefault="000B3979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Not in liver or renal impairment, monitor vital signs, not a PUD patient. </w:t>
            </w:r>
          </w:p>
        </w:tc>
      </w:tr>
      <w:tr w:rsidR="00FE39EF" w:rsidRPr="008A39C1" w:rsidTr="008A39C1">
        <w:tc>
          <w:tcPr>
            <w:tcW w:w="1170" w:type="dxa"/>
            <w:gridSpan w:val="2"/>
          </w:tcPr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Nitroglycerin</w:t>
            </w:r>
          </w:p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</w:p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</w:p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</w:tcPr>
          <w:p w:rsidR="00FE39EF" w:rsidRPr="008A39C1" w:rsidRDefault="00E868D7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Vasodilator </w:t>
            </w:r>
          </w:p>
        </w:tc>
        <w:tc>
          <w:tcPr>
            <w:tcW w:w="1260" w:type="dxa"/>
            <w:gridSpan w:val="2"/>
          </w:tcPr>
          <w:p w:rsidR="00FE39EF" w:rsidRPr="008A39C1" w:rsidRDefault="00E868D7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Angina, renal failure, CCF</w:t>
            </w:r>
          </w:p>
        </w:tc>
        <w:tc>
          <w:tcPr>
            <w:tcW w:w="967" w:type="dxa"/>
            <w:gridSpan w:val="2"/>
          </w:tcPr>
          <w:p w:rsidR="00FE39EF" w:rsidRPr="008A39C1" w:rsidRDefault="00E868D7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5mg/ml, 50mg  </w:t>
            </w:r>
          </w:p>
        </w:tc>
        <w:tc>
          <w:tcPr>
            <w:tcW w:w="1373" w:type="dxa"/>
          </w:tcPr>
          <w:p w:rsidR="00FE39EF" w:rsidRPr="008A39C1" w:rsidRDefault="00E868D7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Oral, IV, transdermal, per rectal, sublingual, topical </w:t>
            </w:r>
          </w:p>
        </w:tc>
        <w:tc>
          <w:tcPr>
            <w:tcW w:w="952" w:type="dxa"/>
          </w:tcPr>
          <w:p w:rsidR="00FE39EF" w:rsidRPr="008A39C1" w:rsidRDefault="00E868D7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5microgrm/min</w:t>
            </w:r>
          </w:p>
        </w:tc>
        <w:tc>
          <w:tcPr>
            <w:tcW w:w="1298" w:type="dxa"/>
          </w:tcPr>
          <w:p w:rsidR="00FE39EF" w:rsidRPr="008A39C1" w:rsidRDefault="00E868D7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Hypersensitivity, narrow angle glaucoma, renal failure. </w:t>
            </w:r>
          </w:p>
        </w:tc>
        <w:tc>
          <w:tcPr>
            <w:tcW w:w="1497" w:type="dxa"/>
          </w:tcPr>
          <w:p w:rsidR="00FE39EF" w:rsidRPr="008A39C1" w:rsidRDefault="00E868D7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Hypotension, headache, dizziness, tachycardia </w:t>
            </w:r>
          </w:p>
        </w:tc>
        <w:tc>
          <w:tcPr>
            <w:tcW w:w="1445" w:type="dxa"/>
            <w:gridSpan w:val="2"/>
          </w:tcPr>
          <w:p w:rsidR="00FE39EF" w:rsidRPr="008A39C1" w:rsidRDefault="00E868D7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Monitor vital signs, ensure kidney and liver functio</w:t>
            </w:r>
            <w:r w:rsidRPr="008A39C1">
              <w:rPr>
                <w:rFonts w:cs="Times New Roman"/>
                <w:sz w:val="20"/>
                <w:szCs w:val="20"/>
              </w:rPr>
              <w:t xml:space="preserve">ns are adequate, ECG monitoring, ensure patient not allergic to the medication. </w:t>
            </w:r>
          </w:p>
        </w:tc>
      </w:tr>
      <w:tr w:rsidR="00FE39EF" w:rsidRPr="008A39C1" w:rsidTr="008A39C1">
        <w:tc>
          <w:tcPr>
            <w:tcW w:w="1170" w:type="dxa"/>
            <w:gridSpan w:val="2"/>
          </w:tcPr>
          <w:p w:rsidR="00447C90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A39C1">
              <w:rPr>
                <w:rFonts w:cs="Times New Roman"/>
                <w:sz w:val="20"/>
                <w:szCs w:val="20"/>
              </w:rPr>
              <w:t>Nitroprusside</w:t>
            </w:r>
            <w:proofErr w:type="spellEnd"/>
          </w:p>
          <w:p w:rsidR="00447C90" w:rsidRPr="008A39C1" w:rsidRDefault="00447C90" w:rsidP="009C7BBF">
            <w:pPr>
              <w:rPr>
                <w:rFonts w:cs="Times New Roman"/>
                <w:sz w:val="20"/>
                <w:szCs w:val="20"/>
              </w:rPr>
            </w:pPr>
          </w:p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</w:p>
          <w:p w:rsidR="00FE39EF" w:rsidRPr="008A39C1" w:rsidRDefault="00FE39EF" w:rsidP="009C7BB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</w:tcPr>
          <w:p w:rsidR="00FE39EF" w:rsidRPr="008A39C1" w:rsidRDefault="00E868D7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Vasodilator and </w:t>
            </w:r>
            <w:r w:rsidR="00B916ED" w:rsidRPr="008A39C1">
              <w:rPr>
                <w:rFonts w:cs="Times New Roman"/>
                <w:sz w:val="20"/>
                <w:szCs w:val="20"/>
              </w:rPr>
              <w:t xml:space="preserve">vascular smooth </w:t>
            </w:r>
            <w:r w:rsidRPr="008A39C1">
              <w:rPr>
                <w:rFonts w:cs="Times New Roman"/>
                <w:sz w:val="20"/>
                <w:szCs w:val="20"/>
              </w:rPr>
              <w:t xml:space="preserve">muscle </w:t>
            </w:r>
            <w:r w:rsidR="00B916ED" w:rsidRPr="008A39C1">
              <w:rPr>
                <w:rFonts w:cs="Times New Roman"/>
                <w:sz w:val="20"/>
                <w:szCs w:val="20"/>
              </w:rPr>
              <w:t xml:space="preserve">relaxant. </w:t>
            </w:r>
          </w:p>
        </w:tc>
        <w:tc>
          <w:tcPr>
            <w:tcW w:w="1260" w:type="dxa"/>
            <w:gridSpan w:val="2"/>
          </w:tcPr>
          <w:p w:rsidR="00FE39EF" w:rsidRPr="008A39C1" w:rsidRDefault="00B916ED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Hypertensive crisis, acute heart failure, cerebral vasospasm, myocardial infarction. </w:t>
            </w:r>
          </w:p>
        </w:tc>
        <w:tc>
          <w:tcPr>
            <w:tcW w:w="967" w:type="dxa"/>
            <w:gridSpan w:val="2"/>
          </w:tcPr>
          <w:p w:rsidR="00FE39EF" w:rsidRPr="008A39C1" w:rsidRDefault="00B916ED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25mg/ml,</w:t>
            </w:r>
          </w:p>
          <w:p w:rsidR="00B916ED" w:rsidRPr="008A39C1" w:rsidRDefault="00B916ED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0.5mg/ml</w:t>
            </w:r>
          </w:p>
        </w:tc>
        <w:tc>
          <w:tcPr>
            <w:tcW w:w="1373" w:type="dxa"/>
          </w:tcPr>
          <w:p w:rsidR="00FE39EF" w:rsidRPr="008A39C1" w:rsidRDefault="00B916ED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IV </w:t>
            </w:r>
          </w:p>
        </w:tc>
        <w:tc>
          <w:tcPr>
            <w:tcW w:w="952" w:type="dxa"/>
          </w:tcPr>
          <w:p w:rsidR="00FE39EF" w:rsidRPr="008A39C1" w:rsidRDefault="00B916ED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0.3mcg/kg/min</w:t>
            </w:r>
          </w:p>
        </w:tc>
        <w:tc>
          <w:tcPr>
            <w:tcW w:w="1298" w:type="dxa"/>
          </w:tcPr>
          <w:p w:rsidR="00FE39EF" w:rsidRPr="008A39C1" w:rsidRDefault="00B916ED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Hypersensitivity, renal failure, hypotension</w:t>
            </w:r>
          </w:p>
        </w:tc>
        <w:tc>
          <w:tcPr>
            <w:tcW w:w="1497" w:type="dxa"/>
          </w:tcPr>
          <w:p w:rsidR="00FE39EF" w:rsidRPr="008A39C1" w:rsidRDefault="00B916ED" w:rsidP="009C7BBF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Hypotension, metabolic acidosis, oliguria, raised intracranial pressure. </w:t>
            </w:r>
          </w:p>
        </w:tc>
        <w:tc>
          <w:tcPr>
            <w:tcW w:w="1445" w:type="dxa"/>
            <w:gridSpan w:val="2"/>
          </w:tcPr>
          <w:p w:rsidR="00FE39EF" w:rsidRPr="008A39C1" w:rsidRDefault="00B916ED" w:rsidP="00B916ED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Monitor </w:t>
            </w:r>
            <w:r w:rsidRPr="008A39C1">
              <w:rPr>
                <w:rFonts w:cs="Times New Roman"/>
                <w:sz w:val="20"/>
                <w:szCs w:val="20"/>
              </w:rPr>
              <w:t>vital signs, ensure kidney</w:t>
            </w:r>
            <w:r w:rsidRPr="008A39C1">
              <w:rPr>
                <w:rFonts w:cs="Times New Roman"/>
                <w:sz w:val="20"/>
                <w:szCs w:val="20"/>
              </w:rPr>
              <w:t xml:space="preserve"> functio</w:t>
            </w:r>
            <w:r w:rsidRPr="008A39C1">
              <w:rPr>
                <w:rFonts w:cs="Times New Roman"/>
                <w:sz w:val="20"/>
                <w:szCs w:val="20"/>
              </w:rPr>
              <w:t xml:space="preserve">ns </w:t>
            </w:r>
            <w:proofErr w:type="gramStart"/>
            <w:r w:rsidRPr="008A39C1">
              <w:rPr>
                <w:rFonts w:cs="Times New Roman"/>
                <w:sz w:val="20"/>
                <w:szCs w:val="20"/>
              </w:rPr>
              <w:t xml:space="preserve">is </w:t>
            </w:r>
            <w:r w:rsidRPr="008A39C1">
              <w:rPr>
                <w:rFonts w:cs="Times New Roman"/>
                <w:sz w:val="20"/>
                <w:szCs w:val="20"/>
              </w:rPr>
              <w:t xml:space="preserve"> adequate</w:t>
            </w:r>
            <w:proofErr w:type="gramEnd"/>
            <w:r w:rsidRPr="008A39C1">
              <w:rPr>
                <w:rFonts w:cs="Times New Roman"/>
                <w:sz w:val="20"/>
                <w:szCs w:val="20"/>
              </w:rPr>
              <w:t>, ensure patient not allergic to the medication.</w:t>
            </w:r>
          </w:p>
        </w:tc>
      </w:tr>
      <w:tr w:rsidR="00FE39EF" w:rsidRPr="008A39C1" w:rsidTr="008A39C1">
        <w:tc>
          <w:tcPr>
            <w:tcW w:w="1170" w:type="dxa"/>
            <w:gridSpan w:val="2"/>
          </w:tcPr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Sodium Bicarbonate</w:t>
            </w:r>
          </w:p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</w:p>
          <w:p w:rsidR="00FE39EF" w:rsidRPr="008A39C1" w:rsidRDefault="00FE39EF" w:rsidP="0099060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</w:tcPr>
          <w:p w:rsidR="00FE39EF" w:rsidRPr="008A39C1" w:rsidRDefault="007A3DEB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Alkaline substance </w:t>
            </w:r>
          </w:p>
        </w:tc>
        <w:tc>
          <w:tcPr>
            <w:tcW w:w="1260" w:type="dxa"/>
            <w:gridSpan w:val="2"/>
          </w:tcPr>
          <w:p w:rsidR="00FE39EF" w:rsidRPr="008A39C1" w:rsidRDefault="007A3DEB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Metabolic acidosis, urinary </w:t>
            </w:r>
            <w:proofErr w:type="spellStart"/>
            <w:r w:rsidRPr="008A39C1">
              <w:rPr>
                <w:rFonts w:cs="Times New Roman"/>
                <w:sz w:val="20"/>
                <w:szCs w:val="20"/>
              </w:rPr>
              <w:t>alkalination</w:t>
            </w:r>
            <w:proofErr w:type="spellEnd"/>
            <w:r w:rsidRPr="008A39C1">
              <w:rPr>
                <w:rFonts w:cs="Times New Roman"/>
                <w:sz w:val="20"/>
                <w:szCs w:val="20"/>
              </w:rPr>
              <w:t xml:space="preserve">, severe diarrhea, neutralizing additive solution. </w:t>
            </w:r>
          </w:p>
        </w:tc>
        <w:tc>
          <w:tcPr>
            <w:tcW w:w="967" w:type="dxa"/>
            <w:gridSpan w:val="2"/>
          </w:tcPr>
          <w:p w:rsidR="00FE39EF" w:rsidRPr="008A39C1" w:rsidRDefault="007A3DEB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50mls </w:t>
            </w:r>
          </w:p>
        </w:tc>
        <w:tc>
          <w:tcPr>
            <w:tcW w:w="1373" w:type="dxa"/>
          </w:tcPr>
          <w:p w:rsidR="00FE39EF" w:rsidRPr="008A39C1" w:rsidRDefault="007A3DEB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Intravenous </w:t>
            </w:r>
          </w:p>
        </w:tc>
        <w:tc>
          <w:tcPr>
            <w:tcW w:w="952" w:type="dxa"/>
          </w:tcPr>
          <w:p w:rsidR="00FE39EF" w:rsidRPr="008A39C1" w:rsidRDefault="007A3DEB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>50ml TDS</w:t>
            </w:r>
          </w:p>
        </w:tc>
        <w:tc>
          <w:tcPr>
            <w:tcW w:w="1298" w:type="dxa"/>
          </w:tcPr>
          <w:p w:rsidR="00FE39EF" w:rsidRPr="008A39C1" w:rsidRDefault="007A3DEB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Hypertension, CCF, convulsions, </w:t>
            </w:r>
            <w:proofErr w:type="spellStart"/>
            <w:r w:rsidRPr="008A39C1">
              <w:rPr>
                <w:rFonts w:cs="Times New Roman"/>
                <w:sz w:val="20"/>
                <w:szCs w:val="20"/>
              </w:rPr>
              <w:t>hypocalcemia</w:t>
            </w:r>
            <w:proofErr w:type="spellEnd"/>
            <w:r w:rsidRPr="008A39C1">
              <w:rPr>
                <w:rFonts w:cs="Times New Roman"/>
                <w:sz w:val="20"/>
                <w:szCs w:val="20"/>
              </w:rPr>
              <w:t xml:space="preserve">, metabolic or respiratory alkalosis </w:t>
            </w:r>
          </w:p>
        </w:tc>
        <w:tc>
          <w:tcPr>
            <w:tcW w:w="1497" w:type="dxa"/>
          </w:tcPr>
          <w:p w:rsidR="00FE39EF" w:rsidRPr="008A39C1" w:rsidRDefault="007A3DEB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Alkalosis, hypernatremia, local pain </w:t>
            </w:r>
          </w:p>
        </w:tc>
        <w:tc>
          <w:tcPr>
            <w:tcW w:w="1445" w:type="dxa"/>
            <w:gridSpan w:val="2"/>
          </w:tcPr>
          <w:p w:rsidR="00FE39EF" w:rsidRPr="008A39C1" w:rsidRDefault="007A3DEB" w:rsidP="00990609">
            <w:pPr>
              <w:rPr>
                <w:rFonts w:cs="Times New Roman"/>
                <w:sz w:val="20"/>
                <w:szCs w:val="20"/>
              </w:rPr>
            </w:pPr>
            <w:r w:rsidRPr="008A39C1">
              <w:rPr>
                <w:rFonts w:cs="Times New Roman"/>
                <w:sz w:val="20"/>
                <w:szCs w:val="20"/>
              </w:rPr>
              <w:t xml:space="preserve">Monitor vital signs, ensure kidney and liver functions are adequate, ECG monitoring. </w:t>
            </w:r>
          </w:p>
        </w:tc>
      </w:tr>
    </w:tbl>
    <w:p w:rsidR="008A39C1" w:rsidRDefault="008A39C1" w:rsidP="008A39C1">
      <w:pPr>
        <w:spacing w:line="360" w:lineRule="auto"/>
        <w:rPr>
          <w:sz w:val="16"/>
          <w:szCs w:val="16"/>
        </w:rPr>
      </w:pPr>
    </w:p>
    <w:p w:rsidR="008A39C1" w:rsidRDefault="008A39C1" w:rsidP="008A39C1">
      <w:pPr>
        <w:spacing w:line="360" w:lineRule="auto"/>
        <w:jc w:val="center"/>
      </w:pPr>
    </w:p>
    <w:p w:rsidR="008A39C1" w:rsidRDefault="008A39C1" w:rsidP="008A39C1">
      <w:pPr>
        <w:spacing w:line="360" w:lineRule="auto"/>
        <w:jc w:val="center"/>
      </w:pPr>
    </w:p>
    <w:p w:rsidR="008A39C1" w:rsidRDefault="008A39C1" w:rsidP="008A39C1">
      <w:pPr>
        <w:spacing w:line="360" w:lineRule="auto"/>
        <w:jc w:val="center"/>
      </w:pPr>
    </w:p>
    <w:p w:rsidR="008A39C1" w:rsidRDefault="008A39C1" w:rsidP="008A39C1">
      <w:pPr>
        <w:spacing w:line="360" w:lineRule="auto"/>
      </w:pPr>
    </w:p>
    <w:p w:rsidR="00AC6ECC" w:rsidRDefault="00AC6ECC" w:rsidP="008A39C1">
      <w:pPr>
        <w:spacing w:line="360" w:lineRule="auto"/>
        <w:jc w:val="center"/>
        <w:rPr>
          <w:sz w:val="18"/>
        </w:rPr>
      </w:pPr>
      <w:r w:rsidRPr="008A39C1">
        <w:t>References</w:t>
      </w:r>
    </w:p>
    <w:p w:rsidR="008A39C1" w:rsidRPr="008A39C1" w:rsidRDefault="008A39C1" w:rsidP="008A39C1">
      <w:pPr>
        <w:ind w:left="288" w:hanging="720"/>
        <w:rPr>
          <w:rFonts w:eastAsia="Times New Roman" w:cs="Times New Roman"/>
          <w:szCs w:val="24"/>
        </w:rPr>
      </w:pPr>
      <w:r w:rsidRPr="008A39C1">
        <w:rPr>
          <w:rFonts w:eastAsia="Times New Roman" w:cs="Times New Roman"/>
          <w:szCs w:val="24"/>
        </w:rPr>
        <w:t xml:space="preserve">Edmunds, M. W. (2015). </w:t>
      </w:r>
      <w:r w:rsidRPr="008A39C1">
        <w:rPr>
          <w:rFonts w:eastAsia="Times New Roman" w:cs="Times New Roman"/>
          <w:i/>
          <w:iCs/>
          <w:szCs w:val="24"/>
        </w:rPr>
        <w:t>Introduction to Clinical Pharmacology-E-Book</w:t>
      </w:r>
      <w:r w:rsidRPr="008A39C1">
        <w:rPr>
          <w:rFonts w:eastAsia="Times New Roman" w:cs="Times New Roman"/>
          <w:szCs w:val="24"/>
        </w:rPr>
        <w:t>. Elsevier Health Sciences.</w:t>
      </w:r>
    </w:p>
    <w:p w:rsidR="008A39C1" w:rsidRDefault="008A39C1" w:rsidP="008A39C1">
      <w:pPr>
        <w:ind w:left="288" w:hanging="720"/>
        <w:rPr>
          <w:rFonts w:eastAsia="Times New Roman" w:cs="Times New Roman"/>
          <w:szCs w:val="24"/>
        </w:rPr>
      </w:pPr>
      <w:r w:rsidRPr="008A39C1">
        <w:rPr>
          <w:rFonts w:eastAsia="Times New Roman" w:cs="Times New Roman"/>
          <w:szCs w:val="24"/>
        </w:rPr>
        <w:t xml:space="preserve">Grahame-Smith, D. G., &amp; Aronson, J. K. (2002). </w:t>
      </w:r>
      <w:r w:rsidRPr="008A39C1">
        <w:rPr>
          <w:rFonts w:eastAsia="Times New Roman" w:cs="Times New Roman"/>
          <w:i/>
          <w:iCs/>
          <w:szCs w:val="24"/>
        </w:rPr>
        <w:t>Oxford textbook of clinical pharmacology and drug therapy</w:t>
      </w:r>
      <w:r w:rsidRPr="008A39C1">
        <w:rPr>
          <w:rFonts w:eastAsia="Times New Roman" w:cs="Times New Roman"/>
          <w:szCs w:val="24"/>
        </w:rPr>
        <w:t>. Oxford: Oxford University Press.</w:t>
      </w:r>
    </w:p>
    <w:p w:rsidR="008A39C1" w:rsidRDefault="008A39C1" w:rsidP="008A39C1">
      <w:pPr>
        <w:ind w:left="288" w:hanging="720"/>
        <w:rPr>
          <w:rFonts w:eastAsia="Times New Roman" w:cs="Times New Roman"/>
          <w:szCs w:val="24"/>
        </w:rPr>
      </w:pPr>
      <w:proofErr w:type="spellStart"/>
      <w:r w:rsidRPr="00AC6ECC">
        <w:rPr>
          <w:rFonts w:eastAsia="Times New Roman" w:cs="Times New Roman"/>
          <w:szCs w:val="24"/>
        </w:rPr>
        <w:t>Katzung</w:t>
      </w:r>
      <w:proofErr w:type="spellEnd"/>
      <w:r w:rsidRPr="00AC6ECC">
        <w:rPr>
          <w:rFonts w:eastAsia="Times New Roman" w:cs="Times New Roman"/>
          <w:szCs w:val="24"/>
        </w:rPr>
        <w:t xml:space="preserve">, B. G., &amp; Trevor, A. J. (2006). </w:t>
      </w:r>
      <w:r w:rsidRPr="00AC6ECC">
        <w:rPr>
          <w:rFonts w:eastAsia="Times New Roman" w:cs="Times New Roman"/>
          <w:i/>
          <w:iCs/>
          <w:szCs w:val="24"/>
        </w:rPr>
        <w:t>Pharmacology</w:t>
      </w:r>
      <w:r w:rsidRPr="00AC6ECC">
        <w:rPr>
          <w:rFonts w:eastAsia="Times New Roman" w:cs="Times New Roman"/>
          <w:szCs w:val="24"/>
        </w:rPr>
        <w:t>. Lange Medical Books/McGraw-Hill Medical Publishing Division.</w:t>
      </w:r>
    </w:p>
    <w:p w:rsidR="008A39C1" w:rsidRPr="008A39C1" w:rsidRDefault="008A39C1" w:rsidP="008A39C1">
      <w:pPr>
        <w:ind w:left="-432"/>
        <w:rPr>
          <w:rFonts w:eastAsia="Times New Roman" w:cs="Times New Roman"/>
          <w:szCs w:val="24"/>
        </w:rPr>
      </w:pPr>
    </w:p>
    <w:sectPr w:rsidR="008A39C1" w:rsidRPr="008A39C1" w:rsidSect="00FE39EF">
      <w:pgSz w:w="15840" w:h="12240" w:orient="landscape"/>
      <w:pgMar w:top="990" w:right="81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609"/>
    <w:rsid w:val="000B3979"/>
    <w:rsid w:val="000C0CC1"/>
    <w:rsid w:val="000C5B16"/>
    <w:rsid w:val="00275D73"/>
    <w:rsid w:val="00421C13"/>
    <w:rsid w:val="00447C90"/>
    <w:rsid w:val="005B25C6"/>
    <w:rsid w:val="005C0292"/>
    <w:rsid w:val="0060373D"/>
    <w:rsid w:val="00711F4A"/>
    <w:rsid w:val="007A3DEB"/>
    <w:rsid w:val="007D035B"/>
    <w:rsid w:val="008311D0"/>
    <w:rsid w:val="008A39C1"/>
    <w:rsid w:val="00990609"/>
    <w:rsid w:val="009A6111"/>
    <w:rsid w:val="00A01857"/>
    <w:rsid w:val="00A30437"/>
    <w:rsid w:val="00AC6ECC"/>
    <w:rsid w:val="00B30217"/>
    <w:rsid w:val="00B916ED"/>
    <w:rsid w:val="00BF3E67"/>
    <w:rsid w:val="00C232D5"/>
    <w:rsid w:val="00C90E7C"/>
    <w:rsid w:val="00CA07A9"/>
    <w:rsid w:val="00D147F4"/>
    <w:rsid w:val="00DC76FD"/>
    <w:rsid w:val="00E2798D"/>
    <w:rsid w:val="00E430DC"/>
    <w:rsid w:val="00E61D35"/>
    <w:rsid w:val="00E868D7"/>
    <w:rsid w:val="00EC53A4"/>
    <w:rsid w:val="00EF227A"/>
    <w:rsid w:val="00F83FA5"/>
    <w:rsid w:val="00F86D3B"/>
    <w:rsid w:val="00FE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706DA7-616C-40BB-B16D-C6C660584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18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6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06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D03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78EAE-1B61-4EBC-A936-D28DBB0C8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5275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 Rarang</dc:creator>
  <cp:lastModifiedBy>Windows User</cp:lastModifiedBy>
  <cp:revision>4</cp:revision>
  <dcterms:created xsi:type="dcterms:W3CDTF">2018-06-16T21:02:00Z</dcterms:created>
  <dcterms:modified xsi:type="dcterms:W3CDTF">2018-06-16T21:11:00Z</dcterms:modified>
</cp:coreProperties>
</file>